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312BB4D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51976">
        <w:t>104-e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9A414D">
        <w:rPr>
          <w:sz w:val="32"/>
          <w:szCs w:val="32"/>
        </w:rPr>
        <w:t>2100033</w:t>
      </w:r>
    </w:p>
    <w:p w14:paraId="40F8CA8E" w14:textId="77777777" w:rsidR="00D53416" w:rsidRPr="00CE0424" w:rsidRDefault="00D53416" w:rsidP="00D53416">
      <w:pPr>
        <w:pStyle w:val="3GPPHeader"/>
      </w:pPr>
      <w:r>
        <w:t>e-Meeting, January 25</w:t>
      </w:r>
      <w:r w:rsidRPr="0083546B">
        <w:rPr>
          <w:vertAlign w:val="superscript"/>
        </w:rPr>
        <w:t>th</w:t>
      </w:r>
      <w:r>
        <w:t xml:space="preserve"> – February 5</w:t>
      </w:r>
      <w:r w:rsidRPr="0083546B">
        <w:rPr>
          <w:vertAlign w:val="superscript"/>
        </w:rPr>
        <w:t>th</w:t>
      </w:r>
      <w:r>
        <w:t>, 2021</w:t>
      </w:r>
    </w:p>
    <w:p w14:paraId="3086AC07" w14:textId="77777777" w:rsidR="00E90E49" w:rsidRPr="00CE0424" w:rsidRDefault="00E90E49" w:rsidP="00357380">
      <w:pPr>
        <w:pStyle w:val="3GPPHeader"/>
      </w:pPr>
    </w:p>
    <w:p w14:paraId="3982483C" w14:textId="3A26BBF4"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D53416">
        <w:rPr>
          <w:sz w:val="22"/>
          <w:lang w:val="sv-FI"/>
        </w:rPr>
        <w:t>8.6</w:t>
      </w:r>
    </w:p>
    <w:p w14:paraId="5619E868" w14:textId="0941D05D" w:rsidR="00E90E49" w:rsidRPr="00CE0424" w:rsidRDefault="003D3C45" w:rsidP="00F64C2B">
      <w:pPr>
        <w:pStyle w:val="3GPPHeader"/>
        <w:rPr>
          <w:sz w:val="22"/>
        </w:rPr>
      </w:pPr>
      <w:r>
        <w:rPr>
          <w:sz w:val="22"/>
        </w:rPr>
        <w:t>Source:</w:t>
      </w:r>
      <w:r w:rsidR="00E90E49" w:rsidRPr="00CE0424">
        <w:rPr>
          <w:sz w:val="22"/>
        </w:rPr>
        <w:tab/>
      </w:r>
      <w:r w:rsidR="00D53416">
        <w:rPr>
          <w:sz w:val="22"/>
        </w:rPr>
        <w:t>Rapporteur (</w:t>
      </w:r>
      <w:r w:rsidR="00F64C2B" w:rsidRPr="00CE0424">
        <w:rPr>
          <w:sz w:val="22"/>
        </w:rPr>
        <w:t>Ericsson</w:t>
      </w:r>
      <w:r w:rsidR="00D53416">
        <w:rPr>
          <w:sz w:val="22"/>
        </w:rPr>
        <w:t>)</w:t>
      </w:r>
    </w:p>
    <w:p w14:paraId="3AF5C9FA" w14:textId="348057B4" w:rsidR="00E90E49" w:rsidRPr="00CE0424" w:rsidRDefault="003D3C45" w:rsidP="00311702">
      <w:pPr>
        <w:pStyle w:val="3GPPHeader"/>
        <w:rPr>
          <w:sz w:val="22"/>
        </w:rPr>
      </w:pPr>
      <w:r>
        <w:rPr>
          <w:sz w:val="22"/>
        </w:rPr>
        <w:t>Title:</w:t>
      </w:r>
      <w:r w:rsidR="00E90E49" w:rsidRPr="00CE0424">
        <w:rPr>
          <w:sz w:val="22"/>
        </w:rPr>
        <w:tab/>
      </w:r>
      <w:r w:rsidR="00D53416">
        <w:rPr>
          <w:sz w:val="22"/>
        </w:rPr>
        <w:t>WI work plan for RedCap</w:t>
      </w:r>
    </w:p>
    <w:p w14:paraId="025260C1" w14:textId="0EF04018" w:rsidR="00E90E49" w:rsidRPr="00CE0424" w:rsidRDefault="00E90E49" w:rsidP="00D546FF">
      <w:pPr>
        <w:pStyle w:val="3GPPHeader"/>
        <w:rPr>
          <w:sz w:val="22"/>
        </w:rPr>
      </w:pPr>
      <w:r w:rsidRPr="00CE0424">
        <w:rPr>
          <w:sz w:val="22"/>
        </w:rPr>
        <w:t>Document for:</w:t>
      </w:r>
      <w:r w:rsidRPr="00CE0424">
        <w:rPr>
          <w:sz w:val="22"/>
        </w:rPr>
        <w:tab/>
      </w:r>
      <w:r w:rsidR="00D53416">
        <w:rPr>
          <w:sz w:val="22"/>
        </w:rPr>
        <w:t>Information</w:t>
      </w:r>
    </w:p>
    <w:p w14:paraId="6883CB62" w14:textId="2D0C3B80" w:rsidR="00E90E49" w:rsidRPr="00CE0424" w:rsidRDefault="008238D8" w:rsidP="00CE0424">
      <w:pPr>
        <w:pStyle w:val="Heading1"/>
      </w:pPr>
      <w:r>
        <w:t>Introduction</w:t>
      </w:r>
    </w:p>
    <w:p w14:paraId="231E64EA" w14:textId="6395DF39" w:rsidR="00477768" w:rsidRDefault="008238D8" w:rsidP="00CE0424">
      <w:pPr>
        <w:pStyle w:val="BodyText"/>
      </w:pPr>
      <w:r>
        <w:t xml:space="preserve">RAN#90e approved a new Rel-17 </w:t>
      </w:r>
      <w:r w:rsidR="00DD0DA8">
        <w:t>WID</w:t>
      </w:r>
      <w:r>
        <w:t xml:space="preserve"> on </w:t>
      </w:r>
      <w:r w:rsidRPr="008238D8">
        <w:t>support of reduced capability NR devices</w:t>
      </w:r>
      <w:r>
        <w:t xml:space="preserve"> (“RedCap”) </w:t>
      </w:r>
      <w:r w:rsidR="00A40F09">
        <w:t xml:space="preserve">in </w:t>
      </w:r>
      <w:r w:rsidR="00A40F09">
        <w:fldChar w:fldCharType="begin"/>
      </w:r>
      <w:r w:rsidR="00A40F09">
        <w:instrText xml:space="preserve"> REF _Ref61874191 \r \h </w:instrText>
      </w:r>
      <w:r w:rsidR="00A40F09">
        <w:fldChar w:fldCharType="separate"/>
      </w:r>
      <w:r w:rsidR="00A40F09">
        <w:t>[1]</w:t>
      </w:r>
      <w:r w:rsidR="00A40F09">
        <w:fldChar w:fldCharType="end"/>
      </w:r>
      <w:r w:rsidR="00A40F09">
        <w:t xml:space="preserve">. The WID includes a </w:t>
      </w:r>
      <w:r w:rsidR="00DD0DA8">
        <w:t>TU</w:t>
      </w:r>
      <w:r w:rsidR="00A40F09">
        <w:t xml:space="preserve"> budget </w:t>
      </w:r>
      <w:r w:rsidR="00DD0DA8">
        <w:t xml:space="preserve">sheet </w:t>
      </w:r>
      <w:r w:rsidR="00A40F09">
        <w:t xml:space="preserve">for RAN1/2/3/4 which is in line with the overall Rel-17 RAN planning </w:t>
      </w:r>
      <w:r w:rsidR="00A40F09">
        <w:fldChar w:fldCharType="begin"/>
      </w:r>
      <w:r w:rsidR="00A40F09">
        <w:instrText xml:space="preserve"> REF _Ref61874231 \r \h </w:instrText>
      </w:r>
      <w:r w:rsidR="00A40F09">
        <w:fldChar w:fldCharType="separate"/>
      </w:r>
      <w:r w:rsidR="00A40F09">
        <w:t>[2]</w:t>
      </w:r>
      <w:r w:rsidR="00A40F09">
        <w:fldChar w:fldCharType="end"/>
      </w:r>
      <w:r w:rsidR="00A40F09">
        <w:fldChar w:fldCharType="begin"/>
      </w:r>
      <w:r w:rsidR="00A40F09">
        <w:instrText xml:space="preserve"> REF _Ref61874233 \r \h </w:instrText>
      </w:r>
      <w:r w:rsidR="00A40F09">
        <w:fldChar w:fldCharType="separate"/>
      </w:r>
      <w:r w:rsidR="00A40F09">
        <w:t>[3]</w:t>
      </w:r>
      <w:r w:rsidR="00A40F09">
        <w:fldChar w:fldCharType="end"/>
      </w:r>
      <w:r w:rsidR="00A40F09">
        <w:t>.</w:t>
      </w:r>
    </w:p>
    <w:p w14:paraId="30266790" w14:textId="278D32E0" w:rsidR="001111FE" w:rsidRDefault="00A40F09" w:rsidP="00CE0424">
      <w:pPr>
        <w:pStyle w:val="BodyText"/>
      </w:pPr>
      <w:r>
        <w:t xml:space="preserve">The outcome of the RAN1 part of the preceding </w:t>
      </w:r>
      <w:r w:rsidR="00DD0DA8">
        <w:t>SI</w:t>
      </w:r>
      <w:r>
        <w:t xml:space="preserve"> is documented </w:t>
      </w:r>
      <w:r w:rsidR="004F78B3">
        <w:t xml:space="preserve">in TR </w:t>
      </w:r>
      <w:r w:rsidR="004F78B3" w:rsidRPr="004F78B3">
        <w:t>38.875 V1.0.0</w:t>
      </w:r>
      <w:r>
        <w:t xml:space="preserve"> </w:t>
      </w:r>
      <w:r>
        <w:fldChar w:fldCharType="begin"/>
      </w:r>
      <w:r>
        <w:instrText xml:space="preserve"> REF _Ref61874488 \r \h </w:instrText>
      </w:r>
      <w:r>
        <w:fldChar w:fldCharType="separate"/>
      </w:r>
      <w:r>
        <w:t>[4]</w:t>
      </w:r>
      <w:r>
        <w:fldChar w:fldCharType="end"/>
      </w:r>
      <w:r>
        <w:t xml:space="preserve">, and the RAN2 part of the SI is expected to be concluded by RAN#91e </w:t>
      </w:r>
      <w:r>
        <w:fldChar w:fldCharType="begin"/>
      </w:r>
      <w:r>
        <w:instrText xml:space="preserve"> REF _Ref61874530 \r \h </w:instrText>
      </w:r>
      <w:r>
        <w:fldChar w:fldCharType="separate"/>
      </w:r>
      <w:r>
        <w:t>[5]</w:t>
      </w:r>
      <w:r>
        <w:fldChar w:fldCharType="end"/>
      </w:r>
      <w:r>
        <w:fldChar w:fldCharType="begin"/>
      </w:r>
      <w:r>
        <w:instrText xml:space="preserve"> REF _Ref61874532 \r \h </w:instrText>
      </w:r>
      <w:r>
        <w:fldChar w:fldCharType="separate"/>
      </w:r>
      <w:r>
        <w:t>[6]</w:t>
      </w:r>
      <w:r>
        <w:fldChar w:fldCharType="end"/>
      </w:r>
      <w:r>
        <w:t>.</w:t>
      </w:r>
    </w:p>
    <w:p w14:paraId="28E10D51" w14:textId="6FBE8D14" w:rsidR="00DD0DA8" w:rsidRDefault="00A40F09" w:rsidP="00CE0424">
      <w:pPr>
        <w:pStyle w:val="BodyText"/>
      </w:pPr>
      <w:r>
        <w:t xml:space="preserve">Beside the RAN2-led higher-layer aspects, there are </w:t>
      </w:r>
      <w:r w:rsidR="00DD0DA8">
        <w:t>a few other aspects of the WI objective that are expected to be resolved at RAN#91e (</w:t>
      </w:r>
      <w:r w:rsidR="008C0720">
        <w:t xml:space="preserve">see </w:t>
      </w:r>
      <w:r w:rsidR="00DD0DA8" w:rsidRPr="008C0720">
        <w:rPr>
          <w:highlight w:val="yellow"/>
        </w:rPr>
        <w:t>highlight</w:t>
      </w:r>
      <w:r w:rsidR="008C0720" w:rsidRPr="008C0720">
        <w:rPr>
          <w:highlight w:val="yellow"/>
        </w:rPr>
        <w:t>ing</w:t>
      </w:r>
      <w:r w:rsidR="00DD0DA8">
        <w:t xml:space="preserve"> below).</w:t>
      </w:r>
    </w:p>
    <w:p w14:paraId="3A2DABF2" w14:textId="1196E0F8" w:rsidR="00DD0DA8" w:rsidRDefault="00DD0DA8" w:rsidP="00CE0424">
      <w:pPr>
        <w:pStyle w:val="BodyText"/>
      </w:pPr>
      <w:r>
        <w:t xml:space="preserve">After RAN#91e, the WI rapporteur will provide a more detailed WI work plan. Until then, the RAN1 WI work </w:t>
      </w:r>
      <w:r w:rsidR="00FD1CAD">
        <w:t>can</w:t>
      </w:r>
      <w:r>
        <w:t xml:space="preserve"> focus on </w:t>
      </w:r>
      <w:r w:rsidR="00FD1CAD">
        <w:t>initial discussions regarding standard impacts from</w:t>
      </w:r>
      <w:bookmarkStart w:id="0" w:name="_GoBack"/>
      <w:bookmarkEnd w:id="0"/>
      <w:r w:rsidR="00FD1CAD">
        <w:t xml:space="preserve"> </w:t>
      </w:r>
      <w:r>
        <w:t>UE complexity reduction feature</w:t>
      </w:r>
      <w:r w:rsidR="00273630">
        <w:t xml:space="preserve"> </w:t>
      </w:r>
      <w:r w:rsidR="00FD1CAD">
        <w:t xml:space="preserve">aspects that are </w:t>
      </w:r>
      <w:r>
        <w:t>not pending further RAN#91e agreements</w:t>
      </w:r>
      <w:r w:rsidR="00FD1CAD">
        <w:t>.</w:t>
      </w:r>
    </w:p>
    <w:p w14:paraId="3E80FA44" w14:textId="6FA6FF2A" w:rsidR="008238D8" w:rsidRPr="00CE0424" w:rsidRDefault="008238D8" w:rsidP="008238D8">
      <w:pPr>
        <w:pStyle w:val="Heading1"/>
      </w:pPr>
      <w:r>
        <w:t>WI objective</w:t>
      </w:r>
    </w:p>
    <w:p w14:paraId="010360B2" w14:textId="087235D6" w:rsidR="001111FE" w:rsidRPr="008238D8" w:rsidRDefault="008238D8" w:rsidP="001111FE">
      <w:pPr>
        <w:pStyle w:val="BodyText"/>
      </w:pPr>
      <w:r>
        <w:t>Core part:</w:t>
      </w:r>
    </w:p>
    <w:tbl>
      <w:tblPr>
        <w:tblStyle w:val="TableGrid"/>
        <w:tblW w:w="0" w:type="auto"/>
        <w:tblLook w:val="04A0" w:firstRow="1" w:lastRow="0" w:firstColumn="1" w:lastColumn="0" w:noHBand="0" w:noVBand="1"/>
      </w:tblPr>
      <w:tblGrid>
        <w:gridCol w:w="9629"/>
      </w:tblGrid>
      <w:tr w:rsidR="001111FE" w:rsidRPr="001111FE" w14:paraId="3067B86F" w14:textId="77777777" w:rsidTr="001111FE">
        <w:tc>
          <w:tcPr>
            <w:tcW w:w="9629" w:type="dxa"/>
          </w:tcPr>
          <w:p w14:paraId="74F0DEF3" w14:textId="77777777" w:rsidR="001111FE" w:rsidRPr="001111FE" w:rsidRDefault="001111FE" w:rsidP="001111FE">
            <w:pPr>
              <w:overflowPunct w:val="0"/>
              <w:autoSpaceDE w:val="0"/>
              <w:autoSpaceDN w:val="0"/>
              <w:adjustRightInd w:val="0"/>
              <w:spacing w:after="180" w:line="240" w:lineRule="auto"/>
              <w:ind w:right="-99"/>
              <w:jc w:val="both"/>
              <w:textAlignment w:val="baseline"/>
              <w:rPr>
                <w:rFonts w:ascii="Times New Roman" w:eastAsia="SimSun" w:hAnsi="Times New Roman" w:cs="Times New Roman"/>
                <w:sz w:val="20"/>
                <w:szCs w:val="18"/>
                <w:lang w:eastAsia="ja-JP"/>
              </w:rPr>
            </w:pPr>
            <w:r w:rsidRPr="001111FE">
              <w:rPr>
                <w:rFonts w:ascii="Times New Roman" w:eastAsia="SimSun" w:hAnsi="Times New Roman" w:cs="Times New Roman"/>
                <w:sz w:val="20"/>
                <w:szCs w:val="18"/>
                <w:lang w:eastAsia="ja-JP"/>
              </w:rPr>
              <w:t xml:space="preserve">This WI has the following objectives: Additional objectives may be added in </w:t>
            </w:r>
            <w:r w:rsidRPr="001111FE">
              <w:rPr>
                <w:rFonts w:ascii="Times New Roman" w:eastAsia="SimSun" w:hAnsi="Times New Roman" w:cs="Times New Roman"/>
                <w:sz w:val="20"/>
                <w:szCs w:val="18"/>
                <w:highlight w:val="yellow"/>
                <w:lang w:eastAsia="ja-JP"/>
              </w:rPr>
              <w:t>RAN#91e</w:t>
            </w:r>
            <w:r w:rsidRPr="001111FE">
              <w:rPr>
                <w:rFonts w:ascii="Times New Roman" w:eastAsia="SimSun" w:hAnsi="Times New Roman" w:cs="Times New Roman"/>
                <w:sz w:val="20"/>
                <w:szCs w:val="18"/>
                <w:lang w:eastAsia="ja-JP"/>
              </w:rPr>
              <w:t xml:space="preserve"> based on the finalization of the RAN2 part of the RedCap SI.</w:t>
            </w:r>
          </w:p>
          <w:p w14:paraId="57A606BD" w14:textId="77777777" w:rsidR="001111FE" w:rsidRPr="001111FE" w:rsidRDefault="001111FE" w:rsidP="001111FE">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18"/>
                <w:lang w:eastAsia="ja-JP"/>
              </w:rPr>
            </w:pPr>
            <w:r w:rsidRPr="001111FE">
              <w:rPr>
                <w:rFonts w:ascii="Times New Roman" w:eastAsia="SimSun" w:hAnsi="Times New Roman" w:cs="Times New Roman"/>
                <w:sz w:val="20"/>
                <w:szCs w:val="18"/>
                <w:lang w:eastAsia="ja-JP"/>
              </w:rPr>
              <w:t>Specify support for the following UE complexity reduction features [RAN1, RAN4]:</w:t>
            </w:r>
          </w:p>
          <w:p w14:paraId="175D613F" w14:textId="77777777" w:rsidR="001111FE" w:rsidRPr="001111FE" w:rsidRDefault="001111FE" w:rsidP="001111FE">
            <w:pPr>
              <w:numPr>
                <w:ilvl w:val="1"/>
                <w:numId w:val="23"/>
              </w:numPr>
              <w:overflowPunct w:val="0"/>
              <w:autoSpaceDE w:val="0"/>
              <w:autoSpaceDN w:val="0"/>
              <w:adjustRightInd w:val="0"/>
              <w:spacing w:after="120" w:line="240" w:lineRule="auto"/>
              <w:jc w:val="both"/>
              <w:textAlignment w:val="baseline"/>
              <w:rPr>
                <w:rFonts w:ascii="Times" w:eastAsia="MS Mincho" w:hAnsi="Times" w:cs="Times"/>
                <w:b/>
                <w:bCs/>
                <w:iCs/>
                <w:sz w:val="20"/>
                <w:szCs w:val="18"/>
              </w:rPr>
            </w:pPr>
            <w:r w:rsidRPr="001111FE">
              <w:rPr>
                <w:rFonts w:ascii="Times" w:eastAsia="MS Mincho" w:hAnsi="Times" w:cs="Times"/>
                <w:bCs/>
                <w:iCs/>
                <w:sz w:val="20"/>
                <w:szCs w:val="18"/>
              </w:rPr>
              <w:t>Reduced maximum UE bandwidth:</w:t>
            </w:r>
          </w:p>
          <w:p w14:paraId="74686688" w14:textId="77777777" w:rsidR="001111FE" w:rsidRPr="001111FE" w:rsidRDefault="001111FE" w:rsidP="001111FE">
            <w:pPr>
              <w:numPr>
                <w:ilvl w:val="2"/>
                <w:numId w:val="23"/>
              </w:numPr>
              <w:overflowPunct w:val="0"/>
              <w:autoSpaceDE w:val="0"/>
              <w:autoSpaceDN w:val="0"/>
              <w:adjustRightInd w:val="0"/>
              <w:spacing w:after="120" w:line="240" w:lineRule="auto"/>
              <w:jc w:val="both"/>
              <w:textAlignment w:val="baseline"/>
              <w:rPr>
                <w:rFonts w:ascii="Times" w:eastAsia="MS Mincho" w:hAnsi="Times" w:cs="Times"/>
                <w:b/>
                <w:bCs/>
                <w:iCs/>
                <w:sz w:val="20"/>
                <w:szCs w:val="18"/>
              </w:rPr>
            </w:pPr>
            <w:r w:rsidRPr="001111FE">
              <w:rPr>
                <w:rFonts w:ascii="Times" w:eastAsia="MS Mincho" w:hAnsi="Times" w:cs="Times"/>
                <w:bCs/>
                <w:iCs/>
                <w:sz w:val="20"/>
                <w:szCs w:val="18"/>
              </w:rPr>
              <w:t>Maximum bandwidth of an FR1 RedCap UE during and after initial access of 20 MHz</w:t>
            </w:r>
            <w:r w:rsidRPr="001111FE">
              <w:rPr>
                <w:rFonts w:ascii="Times New Roman" w:eastAsia="MS Mincho" w:hAnsi="Times New Roman" w:cs="Times New Roman"/>
                <w:i/>
                <w:sz w:val="20"/>
                <w:szCs w:val="18"/>
              </w:rPr>
              <w:t xml:space="preserve"> </w:t>
            </w:r>
            <w:r w:rsidRPr="001111FE">
              <w:rPr>
                <w:rFonts w:ascii="Times" w:eastAsia="MS Mincho" w:hAnsi="Times" w:cs="Times"/>
                <w:bCs/>
                <w:iCs/>
                <w:sz w:val="20"/>
                <w:szCs w:val="18"/>
              </w:rPr>
              <w:t xml:space="preserve">is supported. The possibility of, and any associated conditions for, optional support of a wider bandwidth up to 40MHz after initial access for this case will be further discussed at </w:t>
            </w:r>
            <w:r w:rsidRPr="001111FE">
              <w:rPr>
                <w:rFonts w:ascii="Times" w:eastAsia="MS Mincho" w:hAnsi="Times" w:cs="Times"/>
                <w:bCs/>
                <w:iCs/>
                <w:sz w:val="20"/>
                <w:szCs w:val="18"/>
                <w:highlight w:val="yellow"/>
              </w:rPr>
              <w:t>RAN#91e</w:t>
            </w:r>
            <w:r w:rsidRPr="001111FE">
              <w:rPr>
                <w:rFonts w:ascii="Times" w:eastAsia="MS Mincho" w:hAnsi="Times" w:cs="Times"/>
                <w:bCs/>
                <w:iCs/>
                <w:sz w:val="20"/>
                <w:szCs w:val="18"/>
              </w:rPr>
              <w:t>.</w:t>
            </w:r>
          </w:p>
          <w:p w14:paraId="64325588" w14:textId="77777777" w:rsidR="001111FE" w:rsidRPr="001111FE" w:rsidRDefault="001111FE" w:rsidP="001111FE">
            <w:pPr>
              <w:numPr>
                <w:ilvl w:val="2"/>
                <w:numId w:val="23"/>
              </w:numPr>
              <w:overflowPunct w:val="0"/>
              <w:autoSpaceDE w:val="0"/>
              <w:autoSpaceDN w:val="0"/>
              <w:adjustRightInd w:val="0"/>
              <w:spacing w:after="120" w:line="240" w:lineRule="auto"/>
              <w:jc w:val="both"/>
              <w:textAlignment w:val="baseline"/>
              <w:rPr>
                <w:rFonts w:ascii="Times" w:eastAsia="MS Mincho" w:hAnsi="Times" w:cs="Times"/>
                <w:b/>
                <w:bCs/>
                <w:iCs/>
                <w:sz w:val="20"/>
                <w:szCs w:val="18"/>
              </w:rPr>
            </w:pPr>
            <w:r w:rsidRPr="001111FE">
              <w:rPr>
                <w:rFonts w:ascii="Times" w:eastAsia="MS Mincho" w:hAnsi="Times" w:cs="Times"/>
                <w:bCs/>
                <w:iCs/>
                <w:sz w:val="20"/>
                <w:szCs w:val="18"/>
              </w:rPr>
              <w:t>Maximum bandwidth of an FR2 RedCap UE during and after initial access is 100 MHz</w:t>
            </w:r>
          </w:p>
          <w:p w14:paraId="7A08326C" w14:textId="77777777" w:rsidR="001111FE" w:rsidRPr="001111FE" w:rsidRDefault="001111FE" w:rsidP="001111FE">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18"/>
              </w:rPr>
            </w:pPr>
            <w:r w:rsidRPr="001111FE">
              <w:rPr>
                <w:rFonts w:ascii="Times New Roman" w:eastAsia="MS Mincho" w:hAnsi="Times New Roman" w:cs="Times New Roman"/>
                <w:iCs/>
                <w:sz w:val="20"/>
                <w:szCs w:val="18"/>
              </w:rPr>
              <w:t>Reduced minimum number of Rx branches:</w:t>
            </w:r>
          </w:p>
          <w:p w14:paraId="27834848" w14:textId="77777777" w:rsidR="001111FE" w:rsidRPr="001111FE" w:rsidRDefault="001111FE" w:rsidP="001111FE">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18"/>
              </w:rPr>
            </w:pPr>
            <w:r w:rsidRPr="001111FE">
              <w:rPr>
                <w:rFonts w:ascii="Times New Roman" w:eastAsia="MS Mincho" w:hAnsi="Times New Roman" w:cs="Times New Roman"/>
                <w:iCs/>
                <w:sz w:val="20"/>
                <w:szCs w:val="18"/>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7278AD1F" w14:textId="77777777" w:rsidR="001111FE" w:rsidRPr="001111FE" w:rsidRDefault="001111FE" w:rsidP="001111FE">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18"/>
              </w:rPr>
            </w:pPr>
            <w:bookmarkStart w:id="1" w:name="_Hlk58502022"/>
            <w:r w:rsidRPr="001111FE">
              <w:rPr>
                <w:rFonts w:ascii="Times New Roman" w:eastAsia="MS Mincho" w:hAnsi="Times New Roman" w:cs="Times New Roman"/>
                <w:iCs/>
                <w:sz w:val="20"/>
                <w:szCs w:val="18"/>
              </w:rPr>
              <w:t xml:space="preserve">For frequency bands where a legacy NR UE (other than 2-Rx vehicular UE) is required to be equipped with a minimum of 4 Rx </w:t>
            </w:r>
            <w:bookmarkEnd w:id="1"/>
            <w:r w:rsidRPr="001111FE">
              <w:rPr>
                <w:rFonts w:ascii="Times New Roman" w:eastAsia="MS Mincho" w:hAnsi="Times New Roman" w:cs="Times New Roman"/>
                <w:iCs/>
                <w:sz w:val="20"/>
                <w:szCs w:val="18"/>
              </w:rPr>
              <w:t xml:space="preserve">antenna ports, the minimum number of Rx </w:t>
            </w:r>
            <w:bookmarkStart w:id="2" w:name="_Hlk58574559"/>
            <w:r w:rsidRPr="001111FE">
              <w:rPr>
                <w:rFonts w:ascii="Times New Roman" w:eastAsia="MS Mincho" w:hAnsi="Times New Roman" w:cs="Times New Roman"/>
                <w:iCs/>
                <w:sz w:val="20"/>
                <w:szCs w:val="18"/>
              </w:rPr>
              <w:t xml:space="preserve">branches </w:t>
            </w:r>
            <w:bookmarkEnd w:id="2"/>
            <w:r w:rsidRPr="001111FE">
              <w:rPr>
                <w:rFonts w:ascii="Times New Roman" w:eastAsia="MS Mincho" w:hAnsi="Times New Roman" w:cs="Times New Roman"/>
                <w:iCs/>
                <w:sz w:val="20"/>
                <w:szCs w:val="18"/>
              </w:rPr>
              <w:t xml:space="preserve">supported by specification for a RedCap UE will be decided at </w:t>
            </w:r>
            <w:r w:rsidRPr="001111FE">
              <w:rPr>
                <w:rFonts w:ascii="Times New Roman" w:eastAsia="MS Mincho" w:hAnsi="Times New Roman" w:cs="Times New Roman"/>
                <w:iCs/>
                <w:sz w:val="20"/>
                <w:szCs w:val="18"/>
                <w:highlight w:val="yellow"/>
              </w:rPr>
              <w:t>RAN#91e</w:t>
            </w:r>
            <w:r w:rsidRPr="001111FE">
              <w:rPr>
                <w:rFonts w:ascii="Times New Roman" w:eastAsia="MS Mincho" w:hAnsi="Times New Roman" w:cs="Times New Roman"/>
                <w:iCs/>
                <w:sz w:val="20"/>
                <w:szCs w:val="18"/>
              </w:rPr>
              <w:t xml:space="preserve">; hence no specific work for these frequency bands will be done before </w:t>
            </w:r>
            <w:r w:rsidRPr="001111FE">
              <w:rPr>
                <w:rFonts w:ascii="Times New Roman" w:eastAsia="MS Mincho" w:hAnsi="Times New Roman" w:cs="Times New Roman"/>
                <w:iCs/>
                <w:sz w:val="20"/>
                <w:szCs w:val="18"/>
                <w:highlight w:val="yellow"/>
              </w:rPr>
              <w:t>RAN#91e</w:t>
            </w:r>
            <w:r w:rsidRPr="001111FE">
              <w:rPr>
                <w:rFonts w:ascii="Times New Roman" w:eastAsia="MS Mincho" w:hAnsi="Times New Roman" w:cs="Times New Roman"/>
                <w:iCs/>
                <w:sz w:val="20"/>
                <w:szCs w:val="18"/>
              </w:rPr>
              <w:t>.</w:t>
            </w:r>
          </w:p>
          <w:p w14:paraId="1A967C98" w14:textId="77777777" w:rsidR="001111FE" w:rsidRPr="001111FE" w:rsidRDefault="001111FE" w:rsidP="001111FE">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18"/>
              </w:rPr>
            </w:pPr>
            <w:r w:rsidRPr="001111FE">
              <w:rPr>
                <w:rFonts w:ascii="Times New Roman" w:eastAsia="MS Mincho" w:hAnsi="Times New Roman" w:cs="Times New Roman"/>
                <w:bCs/>
                <w:iCs/>
                <w:sz w:val="20"/>
                <w:szCs w:val="18"/>
              </w:rPr>
              <w:t>Maximum number of DL MIMO layers:</w:t>
            </w:r>
          </w:p>
          <w:p w14:paraId="1A36904A" w14:textId="77777777" w:rsidR="001111FE" w:rsidRPr="001111FE" w:rsidRDefault="001111FE" w:rsidP="001111FE">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18"/>
              </w:rPr>
            </w:pPr>
            <w:r w:rsidRPr="001111FE">
              <w:rPr>
                <w:rFonts w:ascii="Times New Roman" w:eastAsia="MS Mincho" w:hAnsi="Times New Roman" w:cs="Times New Roman"/>
                <w:bCs/>
                <w:iCs/>
                <w:sz w:val="20"/>
                <w:szCs w:val="18"/>
              </w:rPr>
              <w:lastRenderedPageBreak/>
              <w:t xml:space="preserve">For a RedCap UE with 1 Rx </w:t>
            </w:r>
            <w:r w:rsidRPr="001111FE">
              <w:rPr>
                <w:rFonts w:ascii="Times New Roman" w:eastAsia="MS Mincho" w:hAnsi="Times New Roman" w:cs="Times New Roman"/>
                <w:iCs/>
                <w:sz w:val="20"/>
                <w:szCs w:val="18"/>
              </w:rPr>
              <w:t>branch</w:t>
            </w:r>
            <w:r w:rsidRPr="001111FE">
              <w:rPr>
                <w:rFonts w:ascii="Times New Roman" w:eastAsia="MS Mincho" w:hAnsi="Times New Roman" w:cs="Times New Roman"/>
                <w:bCs/>
                <w:iCs/>
                <w:sz w:val="20"/>
                <w:szCs w:val="18"/>
              </w:rPr>
              <w:t>, 1 DL MIMO layer is supported.</w:t>
            </w:r>
          </w:p>
          <w:p w14:paraId="3A4A1BC8" w14:textId="77777777" w:rsidR="001111FE" w:rsidRPr="001111FE" w:rsidRDefault="001111FE" w:rsidP="001111FE">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18"/>
              </w:rPr>
            </w:pPr>
            <w:r w:rsidRPr="001111FE">
              <w:rPr>
                <w:rFonts w:ascii="Times New Roman" w:eastAsia="MS Mincho" w:hAnsi="Times New Roman" w:cs="Times New Roman"/>
                <w:bCs/>
                <w:iCs/>
                <w:sz w:val="20"/>
                <w:szCs w:val="18"/>
              </w:rPr>
              <w:t xml:space="preserve">For a RedCap UE with 2 Rx </w:t>
            </w:r>
            <w:r w:rsidRPr="001111FE">
              <w:rPr>
                <w:rFonts w:ascii="Times New Roman" w:eastAsia="MS Mincho" w:hAnsi="Times New Roman" w:cs="Times New Roman"/>
                <w:iCs/>
                <w:sz w:val="20"/>
                <w:szCs w:val="18"/>
              </w:rPr>
              <w:t>branches</w:t>
            </w:r>
            <w:r w:rsidRPr="001111FE">
              <w:rPr>
                <w:rFonts w:ascii="Times New Roman" w:eastAsia="MS Mincho" w:hAnsi="Times New Roman" w:cs="Times New Roman"/>
                <w:bCs/>
                <w:iCs/>
                <w:sz w:val="20"/>
                <w:szCs w:val="18"/>
              </w:rPr>
              <w:t>, 2 DL MIMO layers are supported.</w:t>
            </w:r>
          </w:p>
          <w:p w14:paraId="4818AAA3" w14:textId="77777777" w:rsidR="001111FE" w:rsidRPr="001111FE" w:rsidRDefault="001111FE" w:rsidP="001111FE">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18"/>
              </w:rPr>
            </w:pPr>
            <w:r w:rsidRPr="001111FE">
              <w:rPr>
                <w:rFonts w:ascii="Times New Roman" w:eastAsia="MS Mincho" w:hAnsi="Times New Roman" w:cs="Times New Roman"/>
                <w:bCs/>
                <w:iCs/>
                <w:sz w:val="20"/>
                <w:szCs w:val="18"/>
              </w:rPr>
              <w:t>Relaxed maximum modulation order:</w:t>
            </w:r>
          </w:p>
          <w:p w14:paraId="75570707" w14:textId="77777777" w:rsidR="001111FE" w:rsidRPr="001111FE" w:rsidRDefault="001111FE" w:rsidP="001111FE">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18"/>
              </w:rPr>
            </w:pPr>
            <w:r w:rsidRPr="001111FE">
              <w:rPr>
                <w:rFonts w:ascii="Times New Roman" w:eastAsia="MS Mincho" w:hAnsi="Times New Roman" w:cs="Times New Roman"/>
                <w:bCs/>
                <w:iCs/>
                <w:sz w:val="20"/>
                <w:szCs w:val="18"/>
              </w:rPr>
              <w:t>Support of 256QAM in DL is optional (instead of mandatory) for an FR1 RedCap UE.</w:t>
            </w:r>
          </w:p>
          <w:p w14:paraId="26B59340" w14:textId="77777777" w:rsidR="001111FE" w:rsidRPr="001111FE" w:rsidRDefault="001111FE" w:rsidP="001111FE">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18"/>
              </w:rPr>
            </w:pPr>
            <w:r w:rsidRPr="001111FE">
              <w:rPr>
                <w:rFonts w:ascii="Times New Roman" w:eastAsia="MS Mincho" w:hAnsi="Times New Roman" w:cs="Times New Roman"/>
                <w:bCs/>
                <w:iCs/>
                <w:sz w:val="20"/>
                <w:szCs w:val="18"/>
              </w:rPr>
              <w:t>No other relaxations of maximum modulation order are specified for a RedCap UE.</w:t>
            </w:r>
          </w:p>
          <w:p w14:paraId="1EDED3E5" w14:textId="77777777" w:rsidR="001111FE" w:rsidRPr="001111FE" w:rsidRDefault="001111FE" w:rsidP="001111FE">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18"/>
              </w:rPr>
            </w:pPr>
            <w:r w:rsidRPr="001111FE">
              <w:rPr>
                <w:rFonts w:ascii="Times New Roman" w:eastAsia="MS Mincho" w:hAnsi="Times New Roman" w:cs="Times New Roman"/>
                <w:bCs/>
                <w:iCs/>
                <w:sz w:val="20"/>
                <w:szCs w:val="18"/>
              </w:rPr>
              <w:t>Duplex operation:</w:t>
            </w:r>
          </w:p>
          <w:p w14:paraId="6573C345" w14:textId="77777777" w:rsidR="001111FE" w:rsidRPr="001111FE" w:rsidRDefault="001111FE" w:rsidP="001111FE">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18"/>
              </w:rPr>
            </w:pPr>
            <w:r w:rsidRPr="001111FE">
              <w:rPr>
                <w:rFonts w:ascii="Times New Roman" w:eastAsia="MS Mincho" w:hAnsi="Times New Roman" w:cs="Times New Roman"/>
                <w:bCs/>
                <w:iCs/>
                <w:sz w:val="20"/>
                <w:szCs w:val="18"/>
              </w:rPr>
              <w:t>HD-FDD type A with the minimum specification impact (Note that FD-FDD and TDD are also supported.)</w:t>
            </w:r>
          </w:p>
          <w:p w14:paraId="2517080F" w14:textId="77777777" w:rsidR="001111FE" w:rsidRPr="001111FE" w:rsidRDefault="001111FE" w:rsidP="001111FE">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18"/>
                <w:lang w:eastAsia="ja-JP"/>
              </w:rPr>
            </w:pPr>
            <w:r w:rsidRPr="001111FE">
              <w:rPr>
                <w:rFonts w:ascii="Times New Roman" w:eastAsia="SimSun" w:hAnsi="Times New Roman" w:cs="Times New Roman"/>
                <w:bCs/>
                <w:sz w:val="20"/>
                <w:szCs w:val="18"/>
                <w:lang w:eastAsia="ja-JP"/>
              </w:rPr>
              <w:t xml:space="preserve">Specify higher layer support of enhancements listed above [RAN2, RAN1]. </w:t>
            </w:r>
            <w:bookmarkStart w:id="3" w:name="_Hlk58502603"/>
            <w:r w:rsidRPr="001111FE">
              <w:rPr>
                <w:rFonts w:ascii="Times New Roman" w:eastAsia="SimSun" w:hAnsi="Times New Roman" w:cs="Times New Roman"/>
                <w:bCs/>
                <w:sz w:val="20"/>
                <w:szCs w:val="18"/>
                <w:lang w:eastAsia="ja-JP"/>
              </w:rPr>
              <w:t xml:space="preserve">Details are to be refined at </w:t>
            </w:r>
            <w:r w:rsidRPr="001111FE">
              <w:rPr>
                <w:rFonts w:ascii="Times New Roman" w:eastAsia="SimSun" w:hAnsi="Times New Roman" w:cs="Times New Roman"/>
                <w:bCs/>
                <w:sz w:val="20"/>
                <w:szCs w:val="18"/>
                <w:highlight w:val="yellow"/>
                <w:lang w:eastAsia="ja-JP"/>
              </w:rPr>
              <w:t>RAN#91e</w:t>
            </w:r>
            <w:r w:rsidRPr="001111FE">
              <w:rPr>
                <w:rFonts w:ascii="Times New Roman" w:eastAsia="SimSun" w:hAnsi="Times New Roman" w:cs="Times New Roman"/>
                <w:bCs/>
                <w:sz w:val="20"/>
                <w:szCs w:val="18"/>
                <w:lang w:eastAsia="ja-JP"/>
              </w:rPr>
              <w:t xml:space="preserve"> taking the outcome of the RedCap SI into account, and work on this objective shall start after </w:t>
            </w:r>
            <w:r w:rsidRPr="001111FE">
              <w:rPr>
                <w:rFonts w:ascii="Times New Roman" w:eastAsia="SimSun" w:hAnsi="Times New Roman" w:cs="Times New Roman"/>
                <w:bCs/>
                <w:sz w:val="20"/>
                <w:szCs w:val="18"/>
                <w:highlight w:val="yellow"/>
                <w:lang w:eastAsia="ja-JP"/>
              </w:rPr>
              <w:t>RAN#91e</w:t>
            </w:r>
            <w:bookmarkEnd w:id="3"/>
            <w:r w:rsidRPr="001111FE">
              <w:rPr>
                <w:rFonts w:ascii="Times New Roman" w:eastAsia="SimSun" w:hAnsi="Times New Roman" w:cs="Times New Roman"/>
                <w:bCs/>
                <w:sz w:val="20"/>
                <w:szCs w:val="18"/>
                <w:lang w:eastAsia="ja-JP"/>
              </w:rPr>
              <w:t>:</w:t>
            </w:r>
          </w:p>
          <w:p w14:paraId="7F9CE0B1" w14:textId="77777777" w:rsidR="001111FE" w:rsidRPr="001111FE" w:rsidRDefault="001111FE" w:rsidP="001111FE">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18"/>
                <w:lang w:eastAsia="ja-JP"/>
              </w:rPr>
            </w:pPr>
            <w:r w:rsidRPr="001111FE">
              <w:rPr>
                <w:rFonts w:ascii="Times New Roman" w:eastAsia="SimSun" w:hAnsi="Times New Roman" w:cs="Times New Roman"/>
                <w:bCs/>
                <w:sz w:val="20"/>
                <w:szCs w:val="18"/>
                <w:lang w:eastAsia="ja-JP"/>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4064DDD0" w14:textId="77777777" w:rsidR="001111FE" w:rsidRPr="001111FE" w:rsidRDefault="001111FE" w:rsidP="001111FE">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18"/>
                <w:lang w:eastAsia="ja-JP"/>
              </w:rPr>
            </w:pPr>
            <w:r w:rsidRPr="001111FE">
              <w:rPr>
                <w:rFonts w:ascii="Times New Roman" w:eastAsia="SimSun" w:hAnsi="Times New Roman" w:cs="Times New Roman"/>
                <w:bCs/>
                <w:sz w:val="20"/>
                <w:szCs w:val="18"/>
                <w:lang w:eastAsia="ja-JP"/>
              </w:rPr>
              <w:t>Specify functionality that will enable RedCap UEs to be explicitly identifiable to networks and allow operators to restrict their access if desired.</w:t>
            </w:r>
          </w:p>
          <w:p w14:paraId="789E439C" w14:textId="77777777" w:rsidR="001111FE" w:rsidRPr="001111FE" w:rsidRDefault="001111FE" w:rsidP="001111FE">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18"/>
                <w:lang w:eastAsia="ja-JP"/>
              </w:rPr>
            </w:pPr>
            <w:r w:rsidRPr="001111FE">
              <w:rPr>
                <w:rFonts w:ascii="Times New Roman" w:eastAsia="SimSun" w:hAnsi="Times New Roman" w:cs="Times New Roman"/>
                <w:bCs/>
                <w:sz w:val="20"/>
                <w:szCs w:val="18"/>
                <w:lang w:eastAsia="ja-JP"/>
              </w:rPr>
              <w:t>Specify necessary updates of UE capabilities (38.306) and RRC parameters (38.331).</w:t>
            </w:r>
          </w:p>
          <w:p w14:paraId="6A94A9B6" w14:textId="77777777" w:rsidR="001111FE" w:rsidRPr="001111FE" w:rsidRDefault="001111FE" w:rsidP="001111FE">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18"/>
                <w:lang w:eastAsia="ja-JP"/>
              </w:rPr>
            </w:pPr>
            <w:r w:rsidRPr="001111FE">
              <w:rPr>
                <w:rFonts w:ascii="Times New Roman" w:eastAsia="SimSun" w:hAnsi="Times New Roman" w:cs="Times New Roman"/>
                <w:bCs/>
                <w:sz w:val="20"/>
                <w:szCs w:val="18"/>
                <w:lang w:eastAsia="ja-JP"/>
              </w:rPr>
              <w:t xml:space="preserve">Specify RAN4 core requirements for the above. </w:t>
            </w:r>
          </w:p>
          <w:p w14:paraId="643F96A3" w14:textId="77777777" w:rsidR="001111FE" w:rsidRPr="001111FE" w:rsidRDefault="001111FE" w:rsidP="001111FE">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18"/>
                <w:lang w:eastAsia="ja-JP"/>
              </w:rPr>
            </w:pPr>
            <w:r w:rsidRPr="001111FE">
              <w:rPr>
                <w:rFonts w:ascii="Times New Roman" w:eastAsia="SimSun" w:hAnsi="Times New Roman" w:cs="Times New Roman"/>
                <w:sz w:val="20"/>
                <w:szCs w:val="18"/>
                <w:lang w:eastAsia="ja-JP"/>
              </w:rPr>
              <w:t>Notes:</w:t>
            </w:r>
          </w:p>
          <w:p w14:paraId="7682DE27" w14:textId="77777777" w:rsidR="001111FE" w:rsidRPr="001111FE" w:rsidRDefault="001111FE" w:rsidP="001111FE">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18"/>
                <w:lang w:eastAsia="ja-JP"/>
              </w:rPr>
            </w:pPr>
            <w:r w:rsidRPr="001111FE">
              <w:rPr>
                <w:rFonts w:ascii="Times New Roman" w:eastAsia="SimSun" w:hAnsi="Times New Roman" w:cs="Times New Roman"/>
                <w:sz w:val="20"/>
                <w:szCs w:val="18"/>
                <w:lang w:eastAsia="ja-JP"/>
              </w:rPr>
              <w:t>Rel-15 SSB bandwidth is reused and L1 changes minimized.</w:t>
            </w:r>
          </w:p>
          <w:p w14:paraId="15917070" w14:textId="77777777" w:rsidR="001111FE" w:rsidRPr="001111FE" w:rsidRDefault="001111FE" w:rsidP="001111FE">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18"/>
                <w:lang w:eastAsia="ja-JP"/>
              </w:rPr>
            </w:pPr>
            <w:r w:rsidRPr="001111FE">
              <w:rPr>
                <w:rFonts w:ascii="Times New Roman" w:eastAsia="SimSun" w:hAnsi="Times New Roman" w:cs="Times New Roman"/>
                <w:sz w:val="20"/>
                <w:szCs w:val="18"/>
                <w:lang w:eastAsia="ja-JP"/>
              </w:rPr>
              <w:t>The work defined as part of this WI is not to overlap with LPWA use cases.</w:t>
            </w:r>
          </w:p>
          <w:p w14:paraId="07932C51" w14:textId="77777777" w:rsidR="001111FE" w:rsidRPr="001111FE" w:rsidRDefault="001111FE" w:rsidP="001111FE">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18"/>
                <w:lang w:eastAsia="ja-JP"/>
              </w:rPr>
            </w:pPr>
            <w:r w:rsidRPr="001111FE">
              <w:rPr>
                <w:rFonts w:ascii="Times New Roman" w:eastAsia="SimSun" w:hAnsi="Times New Roman" w:cs="Times New Roman"/>
                <w:sz w:val="20"/>
                <w:szCs w:val="18"/>
                <w:lang w:eastAsia="ja-JP"/>
              </w:rPr>
              <w:t>Coexistence with non-RedCap UEs is to be ensured.</w:t>
            </w:r>
          </w:p>
          <w:p w14:paraId="3417D8AC" w14:textId="77777777" w:rsidR="001111FE" w:rsidRPr="001111FE" w:rsidRDefault="001111FE" w:rsidP="001111FE">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18"/>
                <w:lang w:eastAsia="ja-JP"/>
              </w:rPr>
            </w:pPr>
            <w:r w:rsidRPr="001111FE">
              <w:rPr>
                <w:rFonts w:ascii="Times New Roman" w:eastAsia="SimSun" w:hAnsi="Times New Roman" w:cs="Times New Roman"/>
                <w:sz w:val="20"/>
                <w:szCs w:val="18"/>
                <w:lang w:eastAsia="ja-JP"/>
              </w:rPr>
              <w:t>This WI focuses on SA mode and single connectivity with operation in a single band at a time.</w:t>
            </w:r>
          </w:p>
          <w:p w14:paraId="11E00FA3" w14:textId="77777777" w:rsidR="001111FE" w:rsidRPr="001111FE" w:rsidRDefault="001111FE" w:rsidP="001111FE">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18"/>
                <w:lang w:eastAsia="ja-JP"/>
              </w:rPr>
            </w:pPr>
            <w:bookmarkStart w:id="4" w:name="_Hlk26857702"/>
            <w:r w:rsidRPr="001111FE">
              <w:rPr>
                <w:rFonts w:ascii="Times New Roman" w:eastAsia="MS Mincho" w:hAnsi="Times New Roman" w:cs="Times New Roman"/>
                <w:sz w:val="20"/>
                <w:szCs w:val="18"/>
                <w:lang w:val="en-GB"/>
              </w:rPr>
              <w:t xml:space="preserve">The work in other WGs than RAN1 starts after </w:t>
            </w:r>
            <w:r w:rsidRPr="001111FE">
              <w:rPr>
                <w:rFonts w:ascii="Times New Roman" w:eastAsia="MS Mincho" w:hAnsi="Times New Roman" w:cs="Times New Roman"/>
                <w:sz w:val="20"/>
                <w:szCs w:val="18"/>
                <w:highlight w:val="yellow"/>
                <w:lang w:val="en-GB"/>
              </w:rPr>
              <w:t>RAN#91e</w:t>
            </w:r>
            <w:r w:rsidRPr="001111FE">
              <w:rPr>
                <w:rFonts w:ascii="Times New Roman" w:eastAsia="MS Mincho" w:hAnsi="Times New Roman" w:cs="Times New Roman"/>
                <w:sz w:val="20"/>
                <w:szCs w:val="18"/>
                <w:lang w:val="en-GB"/>
              </w:rPr>
              <w:t>.</w:t>
            </w:r>
          </w:p>
          <w:p w14:paraId="7D5B3E08" w14:textId="37054E37" w:rsidR="001111FE" w:rsidRPr="001111FE" w:rsidRDefault="001111FE" w:rsidP="001111FE">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18"/>
                <w:lang w:eastAsia="ja-JP"/>
              </w:rPr>
            </w:pPr>
            <w:bookmarkStart w:id="5" w:name="_Hlk58575355"/>
            <w:r w:rsidRPr="001111FE">
              <w:rPr>
                <w:rFonts w:ascii="Times New Roman" w:eastAsia="MS Mincho" w:hAnsi="Times New Roman" w:cs="Times New Roman"/>
                <w:sz w:val="20"/>
                <w:szCs w:val="18"/>
                <w:lang w:val="en-GB"/>
              </w:rPr>
              <w:t xml:space="preserve">The appropriate WI for handling of any potential coverage recovery aspects related to RedCap UEs devices will be considered at </w:t>
            </w:r>
            <w:r w:rsidRPr="001111FE">
              <w:rPr>
                <w:rFonts w:ascii="Times New Roman" w:eastAsia="MS Mincho" w:hAnsi="Times New Roman" w:cs="Times New Roman"/>
                <w:sz w:val="20"/>
                <w:szCs w:val="18"/>
                <w:highlight w:val="yellow"/>
                <w:lang w:val="en-GB"/>
              </w:rPr>
              <w:t>RAN#91e</w:t>
            </w:r>
            <w:r w:rsidRPr="001111FE">
              <w:rPr>
                <w:rFonts w:ascii="Times New Roman" w:eastAsia="MS Mincho" w:hAnsi="Times New Roman" w:cs="Times New Roman"/>
                <w:sz w:val="20"/>
                <w:szCs w:val="18"/>
                <w:lang w:val="en-GB"/>
              </w:rPr>
              <w:t>.</w:t>
            </w:r>
            <w:bookmarkEnd w:id="4"/>
            <w:bookmarkEnd w:id="5"/>
          </w:p>
        </w:tc>
      </w:tr>
    </w:tbl>
    <w:p w14:paraId="52B93B2F" w14:textId="6196523F" w:rsidR="001111FE" w:rsidRDefault="001111FE" w:rsidP="00CE0424">
      <w:pPr>
        <w:pStyle w:val="BodyText"/>
      </w:pPr>
    </w:p>
    <w:p w14:paraId="68A69F05" w14:textId="20268434" w:rsidR="001111FE" w:rsidRPr="008238D8" w:rsidRDefault="008238D8" w:rsidP="00CE0424">
      <w:pPr>
        <w:pStyle w:val="BodyText"/>
      </w:pPr>
      <w:r>
        <w:t>P</w:t>
      </w:r>
      <w:r w:rsidR="001111FE" w:rsidRPr="008238D8">
        <w:t>erformance part:</w:t>
      </w:r>
    </w:p>
    <w:tbl>
      <w:tblPr>
        <w:tblStyle w:val="TableGrid"/>
        <w:tblW w:w="0" w:type="auto"/>
        <w:tblLook w:val="04A0" w:firstRow="1" w:lastRow="0" w:firstColumn="1" w:lastColumn="0" w:noHBand="0" w:noVBand="1"/>
      </w:tblPr>
      <w:tblGrid>
        <w:gridCol w:w="9629"/>
      </w:tblGrid>
      <w:tr w:rsidR="001111FE" w:rsidRPr="001111FE" w14:paraId="74A35023" w14:textId="77777777" w:rsidTr="001111FE">
        <w:tc>
          <w:tcPr>
            <w:tcW w:w="9629" w:type="dxa"/>
          </w:tcPr>
          <w:p w14:paraId="18AB09CA" w14:textId="16C7821E" w:rsidR="001111FE" w:rsidRPr="001111FE" w:rsidRDefault="001111FE" w:rsidP="00CE0424">
            <w:pPr>
              <w:pStyle w:val="BodyText"/>
              <w:rPr>
                <w:sz w:val="20"/>
                <w:szCs w:val="18"/>
              </w:rPr>
            </w:pPr>
            <w:r w:rsidRPr="001111FE">
              <w:rPr>
                <w:rFonts w:ascii="Times New Roman" w:eastAsia="SimSun" w:hAnsi="Times New Roman" w:cs="Times New Roman"/>
                <w:sz w:val="20"/>
                <w:szCs w:val="18"/>
                <w:lang w:eastAsia="ja-JP"/>
              </w:rPr>
              <w:t>Specify necessary performance requirements, measurement accuracy requirements and test cases related to the above-mentioned enhancements and core requirements [RAN4].</w:t>
            </w:r>
          </w:p>
        </w:tc>
      </w:tr>
    </w:tbl>
    <w:p w14:paraId="34DCB3E4" w14:textId="77777777" w:rsidR="001111FE" w:rsidRPr="00CE0424" w:rsidRDefault="001111FE" w:rsidP="00CE0424">
      <w:pPr>
        <w:pStyle w:val="BodyText"/>
      </w:pPr>
    </w:p>
    <w:p w14:paraId="71D79D99" w14:textId="77777777" w:rsidR="00F507D1" w:rsidRPr="00CE0424" w:rsidRDefault="00F507D1" w:rsidP="00CE0424">
      <w:pPr>
        <w:pStyle w:val="Heading1"/>
      </w:pPr>
      <w:bookmarkStart w:id="6" w:name="_In-sequence_SDU_delivery"/>
      <w:bookmarkEnd w:id="6"/>
      <w:r w:rsidRPr="00CE0424">
        <w:t>References</w:t>
      </w:r>
    </w:p>
    <w:bookmarkStart w:id="7" w:name="_Ref61874191"/>
    <w:bookmarkStart w:id="8" w:name="_Ref174151459"/>
    <w:bookmarkStart w:id="9" w:name="_Ref189809556"/>
    <w:p w14:paraId="15DC0A28" w14:textId="17001EF8" w:rsidR="001111FE" w:rsidRDefault="001111FE" w:rsidP="00311702">
      <w:pPr>
        <w:pStyle w:val="Reference"/>
      </w:pPr>
      <w:r>
        <w:fldChar w:fldCharType="begin"/>
      </w:r>
      <w:r>
        <w:instrText>HYPERLINK "https://www.3gpp.org/ftp/tsg_ran/TSG_RAN/TSGR_90e/Docs/RP-202933.zip"</w:instrText>
      </w:r>
      <w:r>
        <w:fldChar w:fldCharType="separate"/>
      </w:r>
      <w:r>
        <w:rPr>
          <w:rStyle w:val="Hyperlink"/>
        </w:rPr>
        <w:t>RP-202933</w:t>
      </w:r>
      <w:r>
        <w:fldChar w:fldCharType="end"/>
      </w:r>
      <w:r w:rsidR="00070721">
        <w:t>, “</w:t>
      </w:r>
      <w:r w:rsidR="00070721" w:rsidRPr="00070721">
        <w:t>New WID on support of reduced capability NR devices</w:t>
      </w:r>
      <w:r w:rsidR="00070721">
        <w:t>”</w:t>
      </w:r>
      <w:bookmarkEnd w:id="7"/>
    </w:p>
    <w:bookmarkStart w:id="10" w:name="_Ref61874231"/>
    <w:p w14:paraId="2F1ECC6B" w14:textId="77777777" w:rsidR="004A5ECC" w:rsidRDefault="004A5ECC" w:rsidP="004A5ECC">
      <w:pPr>
        <w:pStyle w:val="Reference"/>
      </w:pPr>
      <w:r>
        <w:fldChar w:fldCharType="begin"/>
      </w:r>
      <w:r>
        <w:instrText>HYPERLINK "https://www.3gpp.org/ftp/tsg_ran/TSG_RAN/TSGR_90e/Docs/RP-202868.zip"</w:instrText>
      </w:r>
      <w:r>
        <w:fldChar w:fldCharType="separate"/>
      </w:r>
      <w:r w:rsidRPr="00147569">
        <w:rPr>
          <w:rStyle w:val="Hyperlink"/>
        </w:rPr>
        <w:t>RP-202868</w:t>
      </w:r>
      <w:r>
        <w:fldChar w:fldCharType="end"/>
      </w:r>
      <w:r>
        <w:t>, “RAN planning for Release 17”</w:t>
      </w:r>
      <w:bookmarkEnd w:id="10"/>
    </w:p>
    <w:bookmarkStart w:id="11" w:name="_Ref61874233"/>
    <w:p w14:paraId="4B94F2F2" w14:textId="77777777" w:rsidR="004A5ECC" w:rsidRPr="00CE0424" w:rsidRDefault="004A5ECC" w:rsidP="004A5ECC">
      <w:pPr>
        <w:pStyle w:val="Reference"/>
      </w:pPr>
      <w:r>
        <w:fldChar w:fldCharType="begin"/>
      </w:r>
      <w:r>
        <w:instrText>HYPERLINK "https://www.3gpp.org/ftp/tsg_ran/TSG_RAN/TSGR_90e/Docs/RP-202856.zip"</w:instrText>
      </w:r>
      <w:r>
        <w:fldChar w:fldCharType="separate"/>
      </w:r>
      <w:r w:rsidRPr="00147569">
        <w:rPr>
          <w:rStyle w:val="Hyperlink"/>
        </w:rPr>
        <w:t>RP-202856</w:t>
      </w:r>
      <w:r>
        <w:fldChar w:fldCharType="end"/>
      </w:r>
      <w:r>
        <w:t>, “RAN4 TU Management for Release 17”</w:t>
      </w:r>
      <w:bookmarkEnd w:id="11"/>
    </w:p>
    <w:bookmarkStart w:id="12" w:name="_Ref61874488"/>
    <w:p w14:paraId="42B14886" w14:textId="53DDE541" w:rsidR="00A40F09" w:rsidRDefault="00A40F09" w:rsidP="00A40F09">
      <w:pPr>
        <w:pStyle w:val="Reference"/>
      </w:pPr>
      <w:r>
        <w:fldChar w:fldCharType="begin"/>
      </w:r>
      <w:r w:rsidR="00472149">
        <w:instrText>HYPERLINK "https://ftp.3gpp.org/Specs/archive/38_series/38.875/38875-100.zip"</w:instrText>
      </w:r>
      <w:r>
        <w:fldChar w:fldCharType="separate"/>
      </w:r>
      <w:r w:rsidR="00472149">
        <w:rPr>
          <w:rStyle w:val="Hyperlink"/>
        </w:rPr>
        <w:t>TR 38.875 V1.0.0</w:t>
      </w:r>
      <w:r>
        <w:fldChar w:fldCharType="end"/>
      </w:r>
      <w:r>
        <w:t>, “</w:t>
      </w:r>
      <w:r w:rsidRPr="00231C2A">
        <w:t>Study on support of reduced capability NR devices</w:t>
      </w:r>
      <w:r>
        <w:t>”</w:t>
      </w:r>
      <w:bookmarkEnd w:id="12"/>
    </w:p>
    <w:bookmarkStart w:id="13" w:name="_Ref61874530"/>
    <w:p w14:paraId="3E59E158" w14:textId="3D554A34" w:rsidR="00231C2A" w:rsidRDefault="00231C2A" w:rsidP="00311702">
      <w:pPr>
        <w:pStyle w:val="Reference"/>
      </w:pPr>
      <w:r>
        <w:fldChar w:fldCharType="begin"/>
      </w:r>
      <w:r>
        <w:instrText xml:space="preserve"> HYPERLINK "https://www.3gpp.org/ftp/tsg_ran/TSG_RAN/TSGR_90e/Docs/RP-202703.zip" </w:instrText>
      </w:r>
      <w:r>
        <w:fldChar w:fldCharType="separate"/>
      </w:r>
      <w:r w:rsidRPr="00231C2A">
        <w:rPr>
          <w:rStyle w:val="Hyperlink"/>
        </w:rPr>
        <w:t>RP-202703</w:t>
      </w:r>
      <w:r>
        <w:fldChar w:fldCharType="end"/>
      </w:r>
      <w:r>
        <w:t xml:space="preserve">, “Status Report for </w:t>
      </w:r>
      <w:r w:rsidRPr="00231C2A">
        <w:t>Study on support of reduced capability NR devices</w:t>
      </w:r>
      <w:r>
        <w:t>”</w:t>
      </w:r>
      <w:bookmarkEnd w:id="13"/>
    </w:p>
    <w:bookmarkStart w:id="14" w:name="_Ref61874532"/>
    <w:p w14:paraId="715CA09B" w14:textId="0006E697" w:rsidR="003A7EF3" w:rsidRPr="00CE0424" w:rsidRDefault="00231C2A" w:rsidP="00CE0424">
      <w:pPr>
        <w:pStyle w:val="Reference"/>
      </w:pPr>
      <w:r>
        <w:fldChar w:fldCharType="begin"/>
      </w:r>
      <w:r>
        <w:instrText xml:space="preserve"> HYPERLINK "https://www.3gpp.org/ftp/tsg_ran/TSG_RAN/TSGR_90e/Docs/RP-202704.zip" </w:instrText>
      </w:r>
      <w:r>
        <w:fldChar w:fldCharType="separate"/>
      </w:r>
      <w:r w:rsidRPr="00231C2A">
        <w:rPr>
          <w:rStyle w:val="Hyperlink"/>
        </w:rPr>
        <w:t>RP-202704</w:t>
      </w:r>
      <w:r>
        <w:fldChar w:fldCharType="end"/>
      </w:r>
      <w:r>
        <w:t>, “</w:t>
      </w:r>
      <w:r w:rsidRPr="00231C2A">
        <w:t>Revised SID on Study on support of reduced capability NR devices</w:t>
      </w:r>
      <w:r>
        <w:t>”</w:t>
      </w:r>
      <w:bookmarkEnd w:id="8"/>
      <w:bookmarkEnd w:id="9"/>
      <w:bookmarkEnd w:id="14"/>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A0C6D" w14:textId="77777777" w:rsidR="00C01A55" w:rsidRDefault="00C01A55">
      <w:r>
        <w:separator/>
      </w:r>
    </w:p>
  </w:endnote>
  <w:endnote w:type="continuationSeparator" w:id="0">
    <w:p w14:paraId="0AF75BA2" w14:textId="77777777" w:rsidR="00C01A55" w:rsidRDefault="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6A5EA" w14:textId="77777777" w:rsidR="00C01A55" w:rsidRDefault="00C01A55">
      <w:r>
        <w:separator/>
      </w:r>
    </w:p>
  </w:footnote>
  <w:footnote w:type="continuationSeparator" w:id="0">
    <w:p w14:paraId="3EEA7CD7" w14:textId="77777777" w:rsidR="00C01A55" w:rsidRDefault="00C0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1"/>
  </w:num>
  <w:num w:numId="22">
    <w:abstractNumId w:val="21"/>
  </w:num>
  <w:num w:numId="2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3DC0"/>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072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C72"/>
    <w:rsid w:val="000D0D07"/>
    <w:rsid w:val="000D4797"/>
    <w:rsid w:val="000E0527"/>
    <w:rsid w:val="000E1E92"/>
    <w:rsid w:val="000F06D6"/>
    <w:rsid w:val="000F0EB1"/>
    <w:rsid w:val="000F1106"/>
    <w:rsid w:val="000F3BE9"/>
    <w:rsid w:val="000F3F6C"/>
    <w:rsid w:val="000F6DF3"/>
    <w:rsid w:val="001005FF"/>
    <w:rsid w:val="001062FB"/>
    <w:rsid w:val="001063E6"/>
    <w:rsid w:val="001111F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569"/>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1C2A"/>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630"/>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267E"/>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2149"/>
    <w:rsid w:val="004734D0"/>
    <w:rsid w:val="0047556B"/>
    <w:rsid w:val="00477768"/>
    <w:rsid w:val="00492BC5"/>
    <w:rsid w:val="004964F1"/>
    <w:rsid w:val="004A16BC"/>
    <w:rsid w:val="004A2B94"/>
    <w:rsid w:val="004A5ECC"/>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78B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38D8"/>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720"/>
    <w:rsid w:val="008C0C99"/>
    <w:rsid w:val="008C2017"/>
    <w:rsid w:val="008C4958"/>
    <w:rsid w:val="008C4BAA"/>
    <w:rsid w:val="008C6AE8"/>
    <w:rsid w:val="008C7573"/>
    <w:rsid w:val="008D00A5"/>
    <w:rsid w:val="008D34F1"/>
    <w:rsid w:val="008D39D8"/>
    <w:rsid w:val="008D6D1A"/>
    <w:rsid w:val="008E065E"/>
    <w:rsid w:val="008E0927"/>
    <w:rsid w:val="008E1909"/>
    <w:rsid w:val="008E22F2"/>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14D"/>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0F09"/>
    <w:rsid w:val="00A41E2B"/>
    <w:rsid w:val="00A45B74"/>
    <w:rsid w:val="00A51976"/>
    <w:rsid w:val="00A52E1D"/>
    <w:rsid w:val="00A61499"/>
    <w:rsid w:val="00A62A77"/>
    <w:rsid w:val="00A63483"/>
    <w:rsid w:val="00A657D7"/>
    <w:rsid w:val="00A660AC"/>
    <w:rsid w:val="00A67E6C"/>
    <w:rsid w:val="00A71B99"/>
    <w:rsid w:val="00A739D0"/>
    <w:rsid w:val="00A761D4"/>
    <w:rsid w:val="00A77EC4"/>
    <w:rsid w:val="00A92879"/>
    <w:rsid w:val="00A9442A"/>
    <w:rsid w:val="00A9664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438"/>
    <w:rsid w:val="00BD48AC"/>
    <w:rsid w:val="00BD5F1A"/>
    <w:rsid w:val="00BE1234"/>
    <w:rsid w:val="00BE2FA6"/>
    <w:rsid w:val="00BE333F"/>
    <w:rsid w:val="00BE7406"/>
    <w:rsid w:val="00BE7603"/>
    <w:rsid w:val="00BF3279"/>
    <w:rsid w:val="00BF74C7"/>
    <w:rsid w:val="00C015F1"/>
    <w:rsid w:val="00C01A55"/>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4BED"/>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ADC"/>
    <w:rsid w:val="00D23F47"/>
    <w:rsid w:val="00D36E71"/>
    <w:rsid w:val="00D37D87"/>
    <w:rsid w:val="00D40B33"/>
    <w:rsid w:val="00D4318F"/>
    <w:rsid w:val="00D438BF"/>
    <w:rsid w:val="00D440F8"/>
    <w:rsid w:val="00D53416"/>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0DA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CAD"/>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231C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purl.org/dc/dcmitype/"/>
    <ds:schemaRef ds:uri="http://schemas.microsoft.com/sharepoint/v3"/>
    <ds:schemaRef ds:uri="http://purl.org/dc/term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9b239327-9e80-40e4-b1b7-4394fed77a33"/>
    <ds:schemaRef ds:uri="2f282d3b-eb4a-4b09-b61f-b9593442e286"/>
    <ds:schemaRef ds:uri="http://purl.org/dc/elements/1.1/"/>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9E986BEC-72F1-486E-B842-9ABFD0023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777</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24</cp:revision>
  <cp:lastPrinted>2008-01-31T07:09:00Z</cp:lastPrinted>
  <dcterms:created xsi:type="dcterms:W3CDTF">2021-01-18T13:30:00Z</dcterms:created>
  <dcterms:modified xsi:type="dcterms:W3CDTF">2021-01-18T14:38:00Z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